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E3" w:rsidRPr="00795CE3" w:rsidRDefault="00795CE3" w:rsidP="00795C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95CE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Publication of audited accounts for the year ended 31 March 202</w:t>
      </w:r>
      <w:r w:rsidR="000F5C6B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2</w:t>
      </w:r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Regulation 15(5) of the Accounts and Audit (Wales) Regulations 2014 (as amended) requires that by 30 September 202</w:t>
      </w:r>
      <w:r w:rsidR="000F5C6B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6E17A4">
        <w:rPr>
          <w:rFonts w:ascii="Times New Roman" w:eastAsia="Times New Roman" w:hAnsi="Times New Roman" w:cs="Times New Roman"/>
          <w:sz w:val="24"/>
          <w:szCs w:val="24"/>
          <w:lang w:eastAsia="en-GB"/>
        </w:rPr>
        <w:t>Templeton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Community Council</w:t>
      </w: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publish its accounting statements for the year ended 31 March 202</w:t>
      </w:r>
      <w:r w:rsidR="000F5C6B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together with any certificate, opinion, or report issued, given or made by the Auditor General.</w:t>
      </w:r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accounting statements in the form of an annual return have been published on the Council’s website. However, the accounts are published before the conclusion of the audit. </w:t>
      </w:r>
      <w:r w:rsidR="000F5C6B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Auditor General has not yet issued an audit opinion. </w:t>
      </w:r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bookmarkStart w:id="0" w:name="_GoBack"/>
      <w:bookmarkEnd w:id="0"/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color w:val="7030A0"/>
          <w:sz w:val="24"/>
          <w:szCs w:val="24"/>
          <w:lang w:eastAsia="en-GB"/>
        </w:rPr>
        <w:t> </w:t>
      </w:r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795CE3" w:rsidRPr="00795CE3" w:rsidRDefault="00795CE3" w:rsidP="00795C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95CE3">
        <w:rPr>
          <w:rFonts w:ascii="Times New Roman" w:eastAsia="Times New Roman" w:hAnsi="Times New Roman" w:cs="Times New Roman"/>
          <w:b/>
          <w:bCs/>
          <w:sz w:val="27"/>
          <w:szCs w:val="27"/>
          <w:lang w:val="cy-GB" w:eastAsia="en-GB"/>
        </w:rPr>
        <w:t>Cyhoeddi cyfrifon archwiliedig ar gyfer y flwyddyn a ddaeth i ben 31 Mawrth 202</w:t>
      </w:r>
      <w:r w:rsidR="000F5C6B">
        <w:rPr>
          <w:rFonts w:ascii="Times New Roman" w:eastAsia="Times New Roman" w:hAnsi="Times New Roman" w:cs="Times New Roman"/>
          <w:b/>
          <w:bCs/>
          <w:sz w:val="27"/>
          <w:szCs w:val="27"/>
          <w:lang w:val="cy-GB" w:eastAsia="en-GB"/>
        </w:rPr>
        <w:t>2</w:t>
      </w:r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Mae rheoliad 15 (5) o Reoliadau Cyfrifon ac archwilio (Cymru) 2014 (fel y'i diwygiwyd) yn ei gwneud yn ofynnol, erbyn 30 Medi 202</w:t>
      </w:r>
      <w:r w:rsidR="000F5C6B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2</w:t>
      </w:r>
      <w:r w:rsidRPr="00795CE3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 xml:space="preserve">, i </w:t>
      </w:r>
      <w:r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 xml:space="preserve">Cyngor Cymunedol </w:t>
      </w:r>
      <w:r w:rsidR="006E17A4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Tredeml</w:t>
      </w:r>
      <w:r w:rsidRPr="00795CE3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  gyhoeddi ei ddatganiadau cyfrifyddu ar gyfer y flwyddyn a ddaeth i ben 31 Mawrth 202</w:t>
      </w:r>
      <w:r w:rsidR="000F5C6B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2</w:t>
      </w:r>
      <w:r w:rsidRPr="00795CE3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 xml:space="preserve"> ynghyd ag unrhyw dystysgrif, barn neu adroddiad a gyhoeddwyd, a roddwyd neu a wnaed gan yr Archwilydd Cyffredinol.</w:t>
      </w:r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 xml:space="preserve">Mae'r datganiadau cyfrifyddu ar ffurf ffurflen flynyddol wedi'u cyhoeddi ar wefan y Cyngor. Fodd bynnag, cyhoeddir y cyfrifon cyn i'r archwiliad ddod i ben. </w:t>
      </w:r>
      <w:r w:rsidR="000F5C6B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N</w:t>
      </w:r>
      <w:r w:rsidRPr="00795CE3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id yw'r Archwilydd Cyffredinol wedi cyhoeddi barn archwilio eto.</w:t>
      </w:r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90E4C" w:rsidRDefault="00290E4C"/>
    <w:sectPr w:rsidR="00290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EE"/>
    <w:rsid w:val="000F5C6B"/>
    <w:rsid w:val="00290E4C"/>
    <w:rsid w:val="006E17A4"/>
    <w:rsid w:val="00795CE3"/>
    <w:rsid w:val="00BC26EE"/>
    <w:rsid w:val="00E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5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5C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5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5C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dcterms:created xsi:type="dcterms:W3CDTF">2022-09-30T12:12:00Z</dcterms:created>
  <dcterms:modified xsi:type="dcterms:W3CDTF">2022-09-30T12:12:00Z</dcterms:modified>
</cp:coreProperties>
</file>